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zastoupené Michalem Šmardou,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SMLOUVU  O  DÍLO</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„II/354 Nové Město na Moravě, okružní křižovatka Komenského náměstí“ </w:t>
      </w:r>
      <w:r>
        <w:rPr>
          <w:sz w:val="22"/>
          <w:szCs w:val="22"/>
        </w:rPr>
        <w:t>(dále jen „stavba“), kterou objednatel realizuje</w:t>
      </w:r>
      <w:r>
        <w:rPr>
          <w:b/>
          <w:sz w:val="22"/>
          <w:szCs w:val="22"/>
        </w:rPr>
        <w:t xml:space="preserve"> </w:t>
      </w:r>
      <w:r>
        <w:rPr>
          <w:sz w:val="22"/>
          <w:szCs w:val="22"/>
        </w:rPr>
        <w:t>podle prováděcí projektové dokumentace pro provádění stavby „II/354 Nové Město na Moravě, okružní křižovatka Komenského nám.“ zpracované Ing. Tomášem Petrem</w:t>
      </w:r>
      <w:r>
        <w:rPr>
          <w:rFonts w:cs="Arial"/>
          <w:sz w:val="22"/>
          <w:szCs w:val="22"/>
        </w:rPr>
        <w:t>, Nad Vápenicí 42, 592 42 Jimramov, v 05/2025, zak. č. 105,</w:t>
      </w:r>
      <w:r>
        <w:rPr>
          <w:sz w:val="22"/>
          <w:szCs w:val="22"/>
        </w:rPr>
        <w:t xml:space="preserve"> vč. její dokladové části.</w:t>
      </w:r>
    </w:p>
    <w:p>
      <w:pPr>
        <w:pStyle w:val="Normal"/>
        <w:tabs>
          <w:tab w:val="clear" w:pos="709"/>
          <w:tab w:val="left" w:pos="360" w:leader="none"/>
        </w:tabs>
        <w:ind w:left="360" w:hanging="0"/>
        <w:jc w:val="both"/>
        <w:rPr>
          <w:color w:val="4F81BD" w:themeColor="accent1"/>
          <w:sz w:val="22"/>
          <w:szCs w:val="22"/>
        </w:rPr>
      </w:pPr>
      <w:r>
        <w:rPr>
          <w:color w:val="4F81BD" w:themeColor="accent1"/>
          <w:sz w:val="22"/>
          <w:szCs w:val="22"/>
        </w:rPr>
      </w:r>
    </w:p>
    <w:p>
      <w:pPr>
        <w:pStyle w:val="Normal"/>
        <w:tabs>
          <w:tab w:val="clear" w:pos="709"/>
          <w:tab w:val="left" w:pos="426" w:leader="none"/>
          <w:tab w:val="left" w:pos="851" w:leader="none"/>
          <w:tab w:val="left" w:pos="1134" w:leader="none"/>
        </w:tabs>
        <w:ind w:left="426" w:hanging="0"/>
        <w:jc w:val="both"/>
        <w:rPr>
          <w:sz w:val="22"/>
          <w:szCs w:val="22"/>
          <w:u w:val="single"/>
        </w:rPr>
      </w:pPr>
      <w:r>
        <w:rPr>
          <w:sz w:val="22"/>
          <w:szCs w:val="22"/>
        </w:rPr>
        <w:t xml:space="preserve">     </w:t>
      </w:r>
      <w:r>
        <w:rPr>
          <w:sz w:val="22"/>
          <w:szCs w:val="22"/>
          <w:u w:val="single"/>
        </w:rPr>
        <w:t>Předmětem plnění dle této smlouvy o dílo jsou tyto stavební objekty:</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101A – Okružní křižovatka</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104 – Místní komunikace</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105 – Kanalizační přípojky</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191 – Dopravně inženýrská opatření</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401 – Veřejné osvětlení a datová síť města</w:t>
      </w:r>
    </w:p>
    <w:p>
      <w:pPr>
        <w:pStyle w:val="Normal"/>
        <w:tabs>
          <w:tab w:val="clear" w:pos="709"/>
          <w:tab w:val="left" w:pos="426" w:leader="none"/>
          <w:tab w:val="left" w:pos="851" w:leader="none"/>
          <w:tab w:val="left" w:pos="1134" w:leader="none"/>
        </w:tabs>
        <w:ind w:left="426" w:hanging="0"/>
        <w:jc w:val="both"/>
        <w:rPr>
          <w:b/>
          <w:b/>
          <w:sz w:val="22"/>
          <w:szCs w:val="22"/>
        </w:rPr>
      </w:pPr>
      <w:r>
        <w:rPr>
          <w:b/>
          <w:sz w:val="22"/>
          <w:szCs w:val="22"/>
        </w:rPr>
        <w:tab/>
        <w:t>SO 801 – Vegetační úpravy</w:t>
      </w:r>
    </w:p>
    <w:p>
      <w:pPr>
        <w:pStyle w:val="Normal"/>
        <w:tabs>
          <w:tab w:val="clear" w:pos="709"/>
          <w:tab w:val="left" w:pos="426" w:leader="none"/>
          <w:tab w:val="left" w:pos="851" w:leader="none"/>
          <w:tab w:val="left" w:pos="1134" w:leader="none"/>
        </w:tabs>
        <w:ind w:left="426" w:hanging="0"/>
        <w:jc w:val="both"/>
        <w:rPr>
          <w:sz w:val="22"/>
          <w:szCs w:val="22"/>
        </w:rPr>
      </w:pPr>
      <w:r>
        <w:rPr>
          <w:sz w:val="22"/>
          <w:szCs w:val="22"/>
        </w:rPr>
      </w:r>
    </w:p>
    <w:p>
      <w:pPr>
        <w:pStyle w:val="Normal"/>
        <w:tabs>
          <w:tab w:val="clear" w:pos="709"/>
          <w:tab w:val="left" w:pos="426" w:leader="none"/>
          <w:tab w:val="left" w:pos="851" w:leader="none"/>
          <w:tab w:val="left" w:pos="1134" w:leader="none"/>
        </w:tabs>
        <w:ind w:left="426" w:firstLine="283"/>
        <w:jc w:val="both"/>
        <w:rPr>
          <w:sz w:val="22"/>
          <w:szCs w:val="22"/>
        </w:rPr>
      </w:pPr>
      <w:r>
        <w:rPr>
          <w:sz w:val="22"/>
          <w:szCs w:val="22"/>
        </w:rPr>
        <w:t xml:space="preserve">Na staveništi budou současně probíhat tyto stavby jiných investorů (nejsou předmětem </w:t>
      </w:r>
    </w:p>
    <w:p>
      <w:pPr>
        <w:pStyle w:val="Normal"/>
        <w:tabs>
          <w:tab w:val="clear" w:pos="709"/>
          <w:tab w:val="left" w:pos="426" w:leader="none"/>
          <w:tab w:val="left" w:pos="851" w:leader="none"/>
          <w:tab w:val="left" w:pos="1134" w:leader="none"/>
        </w:tabs>
        <w:ind w:left="426" w:firstLine="283"/>
        <w:jc w:val="both"/>
        <w:rPr>
          <w:sz w:val="22"/>
          <w:szCs w:val="22"/>
        </w:rPr>
      </w:pPr>
      <w:r>
        <w:rPr>
          <w:sz w:val="22"/>
          <w:szCs w:val="22"/>
        </w:rPr>
        <w:t>činnosti koordinátora BOZP dle této smlouvy o dílo):</w:t>
      </w:r>
    </w:p>
    <w:p>
      <w:pPr>
        <w:pStyle w:val="ListParagraph"/>
        <w:numPr>
          <w:ilvl w:val="0"/>
          <w:numId w:val="8"/>
        </w:numPr>
        <w:tabs>
          <w:tab w:val="clear" w:pos="709"/>
          <w:tab w:val="left" w:pos="426" w:leader="none"/>
          <w:tab w:val="left" w:pos="851" w:leader="none"/>
          <w:tab w:val="left" w:pos="1134" w:leader="none"/>
        </w:tabs>
        <w:ind w:left="720" w:firstLine="283"/>
        <w:jc w:val="both"/>
        <w:rPr>
          <w:rFonts w:cs="Arial"/>
          <w:b/>
          <w:b/>
          <w:sz w:val="22"/>
          <w:szCs w:val="22"/>
        </w:rPr>
      </w:pPr>
      <w:r>
        <w:rPr>
          <w:rFonts w:cs="Arial"/>
          <w:b/>
          <w:sz w:val="22"/>
          <w:szCs w:val="22"/>
        </w:rPr>
        <w:t xml:space="preserve">  „</w:t>
      </w:r>
      <w:r>
        <w:rPr>
          <w:rFonts w:cs="Arial"/>
          <w:b/>
          <w:sz w:val="22"/>
          <w:szCs w:val="22"/>
        </w:rPr>
        <w:t xml:space="preserve">II/354 Nové Město na Moravě, okružní křižovatka Komenského náměstí </w:t>
      </w:r>
    </w:p>
    <w:p>
      <w:pPr>
        <w:pStyle w:val="ListParagraph"/>
        <w:tabs>
          <w:tab w:val="clear" w:pos="709"/>
          <w:tab w:val="left" w:pos="426" w:leader="none"/>
          <w:tab w:val="left" w:pos="851" w:leader="none"/>
          <w:tab w:val="left" w:pos="1134" w:leader="none"/>
        </w:tabs>
        <w:ind w:left="760" w:firstLine="283"/>
        <w:jc w:val="both"/>
        <w:rPr>
          <w:rFonts w:cs="Arial"/>
          <w:b/>
          <w:b/>
          <w:sz w:val="22"/>
          <w:szCs w:val="22"/>
        </w:rPr>
      </w:pPr>
      <w:r>
        <w:rPr>
          <w:rFonts w:cs="Arial"/>
          <w:b/>
          <w:sz w:val="22"/>
          <w:szCs w:val="22"/>
        </w:rPr>
        <w:tab/>
        <w:tab/>
        <w:t>- SO 101B – Okružní křižovatka – obrusná vrstva vozovky II/354</w:t>
      </w:r>
    </w:p>
    <w:p>
      <w:pPr>
        <w:pStyle w:val="ListParagraph"/>
        <w:tabs>
          <w:tab w:val="clear" w:pos="709"/>
          <w:tab w:val="left" w:pos="426" w:leader="none"/>
          <w:tab w:val="left" w:pos="851" w:leader="none"/>
          <w:tab w:val="left" w:pos="1134" w:leader="none"/>
        </w:tabs>
        <w:ind w:left="760" w:firstLine="283"/>
        <w:jc w:val="both"/>
        <w:rPr>
          <w:rFonts w:cs="Arial"/>
          <w:b/>
          <w:b/>
          <w:sz w:val="22"/>
          <w:szCs w:val="22"/>
        </w:rPr>
      </w:pPr>
      <w:r>
        <w:rPr>
          <w:rFonts w:cs="Arial"/>
          <w:b/>
          <w:sz w:val="22"/>
          <w:szCs w:val="22"/>
        </w:rPr>
        <w:tab/>
        <w:tab/>
        <w:t>- SO 102 – Oprava vozovky II/354 Brněnská</w:t>
      </w:r>
    </w:p>
    <w:p>
      <w:pPr>
        <w:pStyle w:val="ListParagraph"/>
        <w:tabs>
          <w:tab w:val="clear" w:pos="709"/>
          <w:tab w:val="left" w:pos="426" w:leader="none"/>
          <w:tab w:val="left" w:pos="851" w:leader="none"/>
          <w:tab w:val="left" w:pos="1134" w:leader="none"/>
        </w:tabs>
        <w:ind w:left="760" w:firstLine="283"/>
        <w:jc w:val="both"/>
        <w:rPr>
          <w:rFonts w:cs="Arial"/>
          <w:b/>
          <w:b/>
          <w:sz w:val="22"/>
          <w:szCs w:val="22"/>
        </w:rPr>
      </w:pPr>
      <w:r>
        <w:rPr>
          <w:rFonts w:cs="Arial"/>
          <w:b/>
          <w:sz w:val="22"/>
          <w:szCs w:val="22"/>
        </w:rPr>
        <w:tab/>
        <w:tab/>
        <w:t>- SO 103 – Oprava vozovky II/354 Masarykova“</w:t>
      </w:r>
    </w:p>
    <w:p>
      <w:pPr>
        <w:pStyle w:val="ListParagraph"/>
        <w:tabs>
          <w:tab w:val="clear" w:pos="709"/>
          <w:tab w:val="left" w:pos="426" w:leader="none"/>
          <w:tab w:val="left" w:pos="851" w:leader="none"/>
          <w:tab w:val="left" w:pos="1134" w:leader="none"/>
        </w:tabs>
        <w:ind w:left="760" w:firstLine="283"/>
        <w:jc w:val="both"/>
        <w:rPr>
          <w:rFonts w:cs="Arial"/>
          <w:sz w:val="22"/>
          <w:szCs w:val="22"/>
        </w:rPr>
      </w:pPr>
      <w:r>
        <w:rPr>
          <w:rFonts w:cs="Arial"/>
          <w:sz w:val="22"/>
          <w:szCs w:val="22"/>
        </w:rPr>
        <w:t xml:space="preserve">       </w:t>
      </w:r>
      <w:r>
        <w:rPr>
          <w:rFonts w:cs="Arial"/>
          <w:sz w:val="22"/>
          <w:szCs w:val="22"/>
        </w:rPr>
        <w:t xml:space="preserve">(pod investorstvím Kraje Vysočina) </w:t>
      </w:r>
    </w:p>
    <w:p>
      <w:pPr>
        <w:pStyle w:val="ListParagraph"/>
        <w:numPr>
          <w:ilvl w:val="0"/>
          <w:numId w:val="8"/>
        </w:numPr>
        <w:tabs>
          <w:tab w:val="clear" w:pos="709"/>
          <w:tab w:val="left" w:pos="426" w:leader="none"/>
          <w:tab w:val="left" w:pos="851" w:leader="none"/>
          <w:tab w:val="left" w:pos="1134" w:leader="none"/>
        </w:tabs>
        <w:ind w:left="720" w:firstLine="283"/>
        <w:jc w:val="both"/>
        <w:rPr>
          <w:rFonts w:cs="Arial"/>
          <w:b/>
          <w:b/>
          <w:sz w:val="22"/>
          <w:szCs w:val="22"/>
        </w:rPr>
      </w:pPr>
      <w:r>
        <w:rPr>
          <w:rFonts w:cs="Arial"/>
          <w:b/>
          <w:sz w:val="22"/>
          <w:szCs w:val="22"/>
        </w:rPr>
        <w:t xml:space="preserve">  „</w:t>
      </w:r>
      <w:r>
        <w:rPr>
          <w:rFonts w:cs="Arial"/>
          <w:b/>
          <w:sz w:val="22"/>
          <w:szCs w:val="22"/>
        </w:rPr>
        <w:t xml:space="preserve">Nové Město na Moravě – rekonstrukce vodovodu a kanalizace Komenského </w:t>
      </w:r>
    </w:p>
    <w:p>
      <w:pPr>
        <w:pStyle w:val="ListParagraph"/>
        <w:tabs>
          <w:tab w:val="clear" w:pos="709"/>
          <w:tab w:val="left" w:pos="426" w:leader="none"/>
          <w:tab w:val="left" w:pos="851" w:leader="none"/>
          <w:tab w:val="left" w:pos="1134" w:leader="none"/>
        </w:tabs>
        <w:ind w:left="1043" w:hanging="0"/>
        <w:jc w:val="both"/>
        <w:rPr>
          <w:rFonts w:cs="Arial"/>
          <w:b/>
          <w:b/>
          <w:sz w:val="22"/>
          <w:szCs w:val="22"/>
        </w:rPr>
      </w:pPr>
      <w:r>
        <w:rPr>
          <w:rFonts w:cs="Arial"/>
          <w:b/>
          <w:sz w:val="22"/>
          <w:szCs w:val="22"/>
        </w:rPr>
        <w:t xml:space="preserve">    </w:t>
      </w:r>
      <w:r>
        <w:rPr>
          <w:rFonts w:cs="Arial"/>
          <w:b/>
          <w:sz w:val="22"/>
          <w:szCs w:val="22"/>
        </w:rPr>
        <w:t xml:space="preserve">náměstí“ </w:t>
      </w:r>
    </w:p>
    <w:p>
      <w:pPr>
        <w:pStyle w:val="ListParagraph"/>
        <w:tabs>
          <w:tab w:val="clear" w:pos="709"/>
          <w:tab w:val="left" w:pos="426" w:leader="none"/>
          <w:tab w:val="left" w:pos="851" w:leader="none"/>
          <w:tab w:val="left" w:pos="1134" w:leader="none"/>
        </w:tabs>
        <w:ind w:left="760" w:firstLine="283"/>
        <w:jc w:val="both"/>
        <w:rPr>
          <w:rFonts w:cs="Arial"/>
          <w:sz w:val="22"/>
          <w:szCs w:val="22"/>
        </w:rPr>
      </w:pPr>
      <w:r>
        <w:rPr>
          <w:rFonts w:cs="Arial"/>
          <w:sz w:val="22"/>
          <w:szCs w:val="22"/>
        </w:rPr>
        <w:t xml:space="preserve">    </w:t>
      </w:r>
      <w:r>
        <w:rPr>
          <w:rFonts w:cs="Arial"/>
          <w:sz w:val="22"/>
          <w:szCs w:val="22"/>
        </w:rPr>
        <w:t>(pod investorstvím Svazu vodovodů a kanalizací Žďársko)</w:t>
      </w:r>
    </w:p>
    <w:p>
      <w:pPr>
        <w:pStyle w:val="ListParagraph"/>
        <w:numPr>
          <w:ilvl w:val="0"/>
          <w:numId w:val="8"/>
        </w:numPr>
        <w:tabs>
          <w:tab w:val="clear" w:pos="709"/>
          <w:tab w:val="left" w:pos="426" w:leader="none"/>
          <w:tab w:val="left" w:pos="851" w:leader="none"/>
          <w:tab w:val="left" w:pos="1134" w:leader="none"/>
        </w:tabs>
        <w:ind w:left="720" w:firstLine="283"/>
        <w:jc w:val="both"/>
        <w:rPr>
          <w:rFonts w:cs="Arial"/>
          <w:b/>
          <w:b/>
          <w:sz w:val="22"/>
          <w:szCs w:val="22"/>
        </w:rPr>
      </w:pPr>
      <w:r>
        <w:rPr>
          <w:rFonts w:cs="Arial"/>
          <w:b/>
          <w:sz w:val="22"/>
          <w:szCs w:val="22"/>
        </w:rPr>
        <w:t xml:space="preserve">  „</w:t>
      </w:r>
      <w:r>
        <w:rPr>
          <w:rFonts w:cs="Arial"/>
          <w:b/>
          <w:sz w:val="22"/>
          <w:szCs w:val="22"/>
        </w:rPr>
        <w:t xml:space="preserve">Přeložka rozvodů VN Komenského nám. </w:t>
      </w:r>
    </w:p>
    <w:p>
      <w:pPr>
        <w:pStyle w:val="ListParagraph"/>
        <w:tabs>
          <w:tab w:val="clear" w:pos="709"/>
          <w:tab w:val="left" w:pos="426" w:leader="none"/>
          <w:tab w:val="left" w:pos="851" w:leader="none"/>
          <w:tab w:val="left" w:pos="1134" w:leader="none"/>
        </w:tabs>
        <w:ind w:left="760" w:firstLine="283"/>
        <w:jc w:val="both"/>
        <w:rPr>
          <w:rFonts w:cs="Arial"/>
          <w:sz w:val="22"/>
          <w:szCs w:val="22"/>
        </w:rPr>
      </w:pPr>
      <w:r>
        <w:rPr>
          <w:rFonts w:cs="Arial"/>
          <w:sz w:val="22"/>
          <w:szCs w:val="22"/>
        </w:rPr>
        <w:t xml:space="preserve">    </w:t>
      </w:r>
      <w:r>
        <w:rPr>
          <w:rFonts w:cs="Arial"/>
          <w:sz w:val="22"/>
          <w:szCs w:val="22"/>
        </w:rPr>
        <w:t>(pod investorstvím EG., s.r.o.D)</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16.03.2026</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 xml:space="preserve">20.08.2026 </w:t>
      </w:r>
      <w:r>
        <w:rPr>
          <w:sz w:val="22"/>
          <w:szCs w:val="22"/>
        </w:rPr>
        <w:t>(vlastní stavba okružní křižovatky musí být v termínu do 30.6.2026 uvedena do předčasného užívání tak, aby k tomuto datu byl na silnici II/354 obnoven plnohodnotný provoz pro osobní i nákladní dopravu)</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w:t>
      </w:r>
      <w:bookmarkStart w:id="0" w:name="_GoBack"/>
      <w:bookmarkEnd w:id="0"/>
      <w:r>
        <w:rPr>
          <w:sz w:val="22"/>
          <w:szCs w:val="22"/>
        </w:rPr>
        <w:t>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auto"/>
          <w:sz w:val="22"/>
          <w:szCs w:val="22"/>
        </w:rPr>
      </w:pPr>
      <w:r>
        <w:rPr>
          <w:color w:val="auto"/>
          <w:sz w:val="22"/>
          <w:szCs w:val="22"/>
        </w:rPr>
      </w:r>
    </w:p>
    <w:p>
      <w:pPr>
        <w:pStyle w:val="Tlotextu"/>
        <w:jc w:val="both"/>
        <w:rPr>
          <w:color w:val="auto"/>
          <w:sz w:val="22"/>
          <w:szCs w:val="22"/>
        </w:rPr>
      </w:pPr>
      <w:r>
        <w:rPr>
          <w:color w:val="auto"/>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spacing w:before="0" w:after="0"/>
        <w:jc w:val="center"/>
        <w:rPr>
          <w:rFonts w:cs="Times New Roman"/>
          <w:sz w:val="22"/>
          <w:szCs w:val="22"/>
        </w:rPr>
      </w:pPr>
      <w:r>
        <w:rPr>
          <w:rFonts w:cs="Times New Roman" w:ascii="Times New Roman" w:hAnsi="Times New Roman"/>
          <w:sz w:val="22"/>
          <w:szCs w:val="22"/>
        </w:rPr>
        <w:t>Závěrečná ustanovení</w:t>
      </w:r>
    </w:p>
    <w:p>
      <w:pPr>
        <w:pStyle w:val="Normal"/>
        <w:jc w:val="center"/>
        <w:rPr>
          <w:b/>
          <w:b/>
          <w:bCs/>
          <w:sz w:val="22"/>
          <w:szCs w:val="22"/>
        </w:rPr>
      </w:pPr>
      <w:r>
        <w:rPr>
          <w:b/>
          <w:bCs/>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Tato smlouva je uzavřena v souladu s usnesením Rady města Nové Město na Moravě přijatým na její 10. schůzi konané dne 15.5.2023 p</w:t>
      </w:r>
      <w:r>
        <w:rPr>
          <w:sz w:val="22"/>
          <w:szCs w:val="22"/>
          <w:shd w:fill="auto" w:val="clear"/>
        </w:rPr>
        <w:t>od bodem č.31/10/RM/2023.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w:t>
      </w:r>
      <w:r>
        <w:rPr>
          <w:sz w:val="22"/>
          <w:szCs w:val="22"/>
        </w:rPr>
        <w:t>7</w:t>
      </w:r>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color w:val="auto"/>
        </w:rPr>
      </w:pPr>
      <w:r>
        <w:rPr>
          <w:color w:val="auto"/>
          <w:sz w:val="22"/>
          <w:szCs w:val="22"/>
        </w:rPr>
        <w:tab/>
        <w:t xml:space="preserve">starosta   </w:t>
      </w:r>
      <w:r>
        <w:rPr>
          <w:color w:val="auto"/>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6268064"/>
    </w:sdtPr>
    <w:sdtContent>
      <w:p>
        <w:pPr>
          <w:pStyle w:val="Zpat"/>
          <w:jc w:val="center"/>
          <w:rPr/>
        </w:pPr>
        <w:r>
          <w:rPr/>
          <w:fldChar w:fldCharType="begin"/>
        </w:r>
        <w:r>
          <w:rPr/>
          <w:instrText> PAGE </w:instrText>
        </w:r>
        <w:r>
          <w:rPr/>
          <w:fldChar w:fldCharType="separate"/>
        </w:r>
        <w:r>
          <w:rPr/>
          <w:t>6</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Čl. %1"/>
      <w:lvlJc w:val="left"/>
      <w:pPr>
        <w:tabs>
          <w:tab w:val="num" w:pos="720"/>
        </w:tabs>
        <w:ind w:left="432" w:hanging="432"/>
      </w:pPr>
      <w:rPr>
        <w:sz w:val="28"/>
        <w:i w:val="false"/>
        <w:b/>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ascii="Times New Roman" w:hAnsi="Times New Roman"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numFmt w:val="bullet"/>
      <w:lvlText w:val="-"/>
      <w:lvlJc w:val="left"/>
      <w:pPr>
        <w:tabs>
          <w:tab w:val="num" w:pos="0"/>
        </w:tabs>
        <w:ind w:left="760" w:hanging="360"/>
      </w:pPr>
      <w:rPr>
        <w:rFonts w:ascii="Arial" w:hAnsi="Arial" w:cs="Arial" w:hint="default"/>
      </w:rPr>
    </w:lvl>
    <w:lvl w:ilvl="1">
      <w:start w:val="1"/>
      <w:numFmt w:val="bullet"/>
      <w:lvlText w:val="o"/>
      <w:lvlJc w:val="left"/>
      <w:pPr>
        <w:tabs>
          <w:tab w:val="num" w:pos="0"/>
        </w:tabs>
        <w:ind w:left="1480" w:hanging="360"/>
      </w:pPr>
      <w:rPr>
        <w:rFonts w:ascii="Courier New" w:hAnsi="Courier New" w:cs="Courier New" w:hint="default"/>
      </w:rPr>
    </w:lvl>
    <w:lvl w:ilvl="2">
      <w:start w:val="1"/>
      <w:numFmt w:val="bullet"/>
      <w:lvlText w:val=""/>
      <w:lvlJc w:val="left"/>
      <w:pPr>
        <w:tabs>
          <w:tab w:val="num" w:pos="0"/>
        </w:tabs>
        <w:ind w:left="2200" w:hanging="360"/>
      </w:pPr>
      <w:rPr>
        <w:rFonts w:ascii="Wingdings" w:hAnsi="Wingdings" w:cs="Wingdings" w:hint="default"/>
      </w:rPr>
    </w:lvl>
    <w:lvl w:ilvl="3">
      <w:start w:val="1"/>
      <w:numFmt w:val="bullet"/>
      <w:lvlText w:val=""/>
      <w:lvlJc w:val="left"/>
      <w:pPr>
        <w:tabs>
          <w:tab w:val="num" w:pos="0"/>
        </w:tabs>
        <w:ind w:left="2920" w:hanging="360"/>
      </w:pPr>
      <w:rPr>
        <w:rFonts w:ascii="Symbol" w:hAnsi="Symbol" w:cs="Symbol" w:hint="default"/>
      </w:rPr>
    </w:lvl>
    <w:lvl w:ilvl="4">
      <w:start w:val="1"/>
      <w:numFmt w:val="bullet"/>
      <w:lvlText w:val="o"/>
      <w:lvlJc w:val="left"/>
      <w:pPr>
        <w:tabs>
          <w:tab w:val="num" w:pos="0"/>
        </w:tabs>
        <w:ind w:left="3640" w:hanging="360"/>
      </w:pPr>
      <w:rPr>
        <w:rFonts w:ascii="Courier New" w:hAnsi="Courier New" w:cs="Courier New" w:hint="default"/>
      </w:rPr>
    </w:lvl>
    <w:lvl w:ilvl="5">
      <w:start w:val="1"/>
      <w:numFmt w:val="bullet"/>
      <w:lvlText w:val=""/>
      <w:lvlJc w:val="left"/>
      <w:pPr>
        <w:tabs>
          <w:tab w:val="num" w:pos="0"/>
        </w:tabs>
        <w:ind w:left="4360" w:hanging="360"/>
      </w:pPr>
      <w:rPr>
        <w:rFonts w:ascii="Wingdings" w:hAnsi="Wingdings" w:cs="Wingdings" w:hint="default"/>
      </w:rPr>
    </w:lvl>
    <w:lvl w:ilvl="6">
      <w:start w:val="1"/>
      <w:numFmt w:val="bullet"/>
      <w:lvlText w:val=""/>
      <w:lvlJc w:val="left"/>
      <w:pPr>
        <w:tabs>
          <w:tab w:val="num" w:pos="0"/>
        </w:tabs>
        <w:ind w:left="5080" w:hanging="360"/>
      </w:pPr>
      <w:rPr>
        <w:rFonts w:ascii="Symbol" w:hAnsi="Symbol" w:cs="Symbol" w:hint="default"/>
      </w:rPr>
    </w:lvl>
    <w:lvl w:ilvl="7">
      <w:start w:val="1"/>
      <w:numFmt w:val="bullet"/>
      <w:lvlText w:val="o"/>
      <w:lvlJc w:val="left"/>
      <w:pPr>
        <w:tabs>
          <w:tab w:val="num" w:pos="0"/>
        </w:tabs>
        <w:ind w:left="5800" w:hanging="360"/>
      </w:pPr>
      <w:rPr>
        <w:rFonts w:ascii="Courier New" w:hAnsi="Courier New" w:cs="Courier New" w:hint="default"/>
      </w:rPr>
    </w:lvl>
    <w:lvl w:ilvl="8">
      <w:start w:val="1"/>
      <w:numFmt w:val="bullet"/>
      <w:lvlText w:val=""/>
      <w:lvlJc w:val="left"/>
      <w:pPr>
        <w:tabs>
          <w:tab w:val="num" w:pos="0"/>
        </w:tabs>
        <w:ind w:left="652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revisionView w:insDel="0" w:formatting="0"/>
  <w:embedSystemFonts/>
  <w:defaultTabStop w:val="709"/>
  <w:autoHyphenation w:val="true"/>
  <w:compat>
    <w:compatSetting w:name="compatibilityMode" w:uri="http://schemas.microsoft.com/office/word" w:val="12"/>
    <w:compatSetting w:name="useWord2013TrackBottomHyphenation" w:uri="http://schemas.microsoft.com/office/word" w:val="1"/>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numPr>
        <w:ilvl w:val="0"/>
        <w:numId w:val="4"/>
      </w:numPr>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CD970-BDC9-46A6-8496-C7C62958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Application>LibreOffice/7.2.7.2$Windows_X86_64 LibreOffice_project/8d71d29d553c0f7dcbfa38fbfda25ee34cce99a2</Application>
  <AppVersion>15.0000</AppVersion>
  <Pages>6</Pages>
  <Words>1983</Words>
  <Characters>11632</Characters>
  <CharactersWithSpaces>13664</CharactersWithSpaces>
  <Paragraphs>119</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2025-12-09T09:58:01Z</dcterms:modified>
  <cp:revision>44</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file>